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8" w:rsidRPr="00D55D08" w:rsidRDefault="00D55D08" w:rsidP="00D55D08">
      <w:pPr>
        <w:pStyle w:val="Sangradetextonormal"/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D55D08">
        <w:rPr>
          <w:rFonts w:ascii="Arial" w:hAnsi="Arial" w:cs="Arial"/>
          <w:b/>
          <w:bCs/>
          <w:sz w:val="24"/>
          <w:szCs w:val="24"/>
          <w:u w:val="single"/>
        </w:rPr>
        <w:t>Versión Pública</w:t>
      </w:r>
    </w:p>
    <w:p w:rsidR="00490900" w:rsidRDefault="00B3280F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DEL DÍA </w:t>
      </w:r>
    </w:p>
    <w:p w:rsidR="00D460C5" w:rsidRPr="00D460C5" w:rsidRDefault="007257F3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DÉCIMA</w:t>
      </w:r>
      <w:r w:rsidR="00F75EAF">
        <w:rPr>
          <w:rFonts w:ascii="Arial" w:hAnsi="Arial" w:cs="Arial"/>
          <w:b/>
          <w:bCs/>
          <w:sz w:val="24"/>
          <w:szCs w:val="24"/>
        </w:rPr>
        <w:t xml:space="preserve"> 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SESIÓN ORDINARIA </w:t>
      </w:r>
    </w:p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PLENO DEL TRIBUNAL CONSTITUCIONAL LOCAL</w:t>
      </w:r>
    </w:p>
    <w:p w:rsidR="00D460C5" w:rsidRPr="00D460C5" w:rsidRDefault="00AB6981" w:rsidP="00D460C5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Diciembre - 19</w:t>
      </w:r>
      <w:r w:rsidR="008E2AEE">
        <w:rPr>
          <w:rFonts w:ascii="Arial" w:hAnsi="Arial" w:cs="Arial"/>
          <w:b/>
          <w:bCs/>
          <w:sz w:val="24"/>
          <w:szCs w:val="24"/>
        </w:rPr>
        <w:t xml:space="preserve"> - 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2020 </w:t>
      </w:r>
    </w:p>
    <w:p w:rsidR="00D460C5" w:rsidRPr="00D460C5" w:rsidRDefault="00D460C5" w:rsidP="00D460C5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D460C5" w:rsidRPr="00D460C5" w:rsidRDefault="00D460C5" w:rsidP="00D460C5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D460C5" w:rsidRPr="00D460C5" w:rsidRDefault="00D460C5" w:rsidP="00D460C5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49090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ón </w:t>
      </w:r>
      <w:r w:rsidR="00FA5A0B">
        <w:rPr>
          <w:rFonts w:ascii="Arial" w:hAnsi="Arial" w:cs="Arial"/>
          <w:b w:val="0"/>
          <w:i w:val="0"/>
          <w:iCs w:val="0"/>
          <w:sz w:val="24"/>
          <w:szCs w:val="24"/>
        </w:rPr>
        <w:t>celebrada el 1</w:t>
      </w:r>
      <w:r w:rsidR="00AB6981">
        <w:rPr>
          <w:rFonts w:ascii="Arial" w:hAnsi="Arial" w:cs="Arial"/>
          <w:b w:val="0"/>
          <w:i w:val="0"/>
          <w:iCs w:val="0"/>
          <w:sz w:val="24"/>
          <w:szCs w:val="24"/>
        </w:rPr>
        <w:t>7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de</w:t>
      </w:r>
      <w:r w:rsidR="00FA5A0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dicie</w:t>
      </w:r>
      <w:r w:rsidR="003D6C7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mbre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2020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8E2AEE" w:rsidRPr="00AA2771" w:rsidRDefault="00FA5A0B" w:rsidP="008E2AEE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Aprobación, en su caso,</w:t>
      </w:r>
      <w:r w:rsidR="001A0D49" w:rsidRPr="00AA2771">
        <w:rPr>
          <w:rFonts w:ascii="Arial" w:hAnsi="Arial" w:cs="Arial"/>
          <w:b w:val="0"/>
          <w:i w:val="0"/>
          <w:sz w:val="24"/>
          <w:szCs w:val="24"/>
        </w:rPr>
        <w:t xml:space="preserve"> del proyecto de sentencia </w:t>
      </w:r>
      <w:r w:rsidR="003D6C7A" w:rsidRPr="00AA2771">
        <w:rPr>
          <w:rFonts w:ascii="Arial" w:hAnsi="Arial" w:cs="Arial"/>
          <w:b w:val="0"/>
          <w:i w:val="0"/>
          <w:sz w:val="24"/>
          <w:szCs w:val="24"/>
        </w:rPr>
        <w:t xml:space="preserve">de la acción de inconstitucionalidad local AIL-6/2020 </w:t>
      </w:r>
      <w:r w:rsidR="00AA2771">
        <w:rPr>
          <w:rFonts w:ascii="Arial" w:hAnsi="Arial" w:cs="Arial"/>
          <w:b w:val="0"/>
          <w:i w:val="0"/>
          <w:sz w:val="24"/>
          <w:szCs w:val="24"/>
        </w:rPr>
        <w:t>promovida por el Doctor</w:t>
      </w:r>
      <w:r w:rsidR="003D6C7A" w:rsidRPr="00AA2771">
        <w:rPr>
          <w:rFonts w:ascii="Arial" w:hAnsi="Arial" w:cs="Arial"/>
          <w:b w:val="0"/>
          <w:i w:val="0"/>
          <w:sz w:val="24"/>
          <w:szCs w:val="24"/>
        </w:rPr>
        <w:t xml:space="preserve"> Hugo Morales Valdés, Presidente de la Comisión de los Derechos Humanos y Gerardo Castillo Rodríguez, apoderado legal de la Asociación Civil Frontera con Justicia </w:t>
      </w:r>
      <w:r w:rsidR="00AA2771">
        <w:rPr>
          <w:rFonts w:ascii="Arial" w:hAnsi="Arial" w:cs="Arial"/>
          <w:b w:val="0"/>
          <w:i w:val="0"/>
          <w:sz w:val="24"/>
          <w:szCs w:val="24"/>
        </w:rPr>
        <w:t xml:space="preserve">en </w:t>
      </w:r>
      <w:r w:rsidR="00AA2771">
        <w:rPr>
          <w:rFonts w:ascii="Arial" w:hAnsi="Arial" w:cs="Arial"/>
          <w:b w:val="0"/>
          <w:i w:val="0"/>
          <w:iCs w:val="0"/>
          <w:sz w:val="24"/>
          <w:szCs w:val="24"/>
        </w:rPr>
        <w:t>contra de la omisión legislativa atribuida al H. Congreso del Estado de Coahuila de Zaragoza,</w:t>
      </w:r>
      <w:r w:rsidR="00AA2771" w:rsidRPr="00AA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AA2771">
        <w:rPr>
          <w:rFonts w:ascii="Arial" w:hAnsi="Arial" w:cs="Arial"/>
          <w:b w:val="0"/>
          <w:i w:val="0"/>
          <w:sz w:val="24"/>
          <w:szCs w:val="24"/>
        </w:rPr>
        <w:t xml:space="preserve">con relación a </w:t>
      </w:r>
      <w:r w:rsidR="003D6C7A" w:rsidRPr="00AA2771">
        <w:rPr>
          <w:rFonts w:ascii="Arial" w:hAnsi="Arial" w:cs="Arial"/>
          <w:b w:val="0"/>
          <w:i w:val="0"/>
          <w:sz w:val="24"/>
          <w:szCs w:val="24"/>
        </w:rPr>
        <w:t>los artículos 12, 75 y 78 de la Ley de Aguas del Estado de Coahuila</w:t>
      </w:r>
      <w:r w:rsidR="001A0D49" w:rsidRPr="00AA2771">
        <w:rPr>
          <w:rFonts w:ascii="Arial" w:hAnsi="Arial" w:cs="Arial"/>
          <w:b w:val="0"/>
          <w:i w:val="0"/>
          <w:sz w:val="24"/>
          <w:szCs w:val="24"/>
        </w:rPr>
        <w:t>.</w:t>
      </w:r>
      <w:r w:rsidR="008F032D" w:rsidRPr="00AA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AA2771" w:rsidRPr="00AA2771" w:rsidRDefault="00AA2771" w:rsidP="00AA2771">
      <w:pPr>
        <w:pStyle w:val="Textoindependiente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9A3410" w:rsidRPr="009A3410" w:rsidRDefault="00FA5A0B" w:rsidP="009A3410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Aprobación, en su caso,</w:t>
      </w:r>
      <w:r w:rsidRPr="00AA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8E2AEE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del proyecto de sentencia de la acción de inconstitucionalidad local </w:t>
      </w:r>
      <w:r w:rsidR="008E2AEE" w:rsidRPr="00AA2771">
        <w:rPr>
          <w:rFonts w:ascii="Arial" w:hAnsi="Arial" w:cs="Arial"/>
          <w:b w:val="0"/>
          <w:i w:val="0"/>
          <w:iCs w:val="0"/>
          <w:sz w:val="24"/>
          <w:szCs w:val="24"/>
        </w:rPr>
        <w:t>AIL-7/2020</w:t>
      </w:r>
      <w:r w:rsidR="008E2AE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E2AEE" w:rsidRPr="008E2AEE">
        <w:rPr>
          <w:rFonts w:ascii="Arial" w:hAnsi="Arial" w:cs="Arial"/>
          <w:b w:val="0"/>
          <w:i w:val="0"/>
          <w:iCs w:val="0"/>
          <w:sz w:val="24"/>
          <w:szCs w:val="24"/>
        </w:rPr>
        <w:t>promov</w:t>
      </w:r>
      <w:r w:rsidR="008E2AEE">
        <w:rPr>
          <w:rFonts w:ascii="Arial" w:hAnsi="Arial" w:cs="Arial"/>
          <w:b w:val="0"/>
          <w:i w:val="0"/>
          <w:iCs w:val="0"/>
          <w:sz w:val="24"/>
          <w:szCs w:val="24"/>
        </w:rPr>
        <w:t>ida por Esther Alicia Ramos Aguilar, Carlos Alberto Rodríguez Alcantar, María de los Ángeles Coronado Leija, José Segundo García Gutiérrez, Rodrigo Antonio Valdez Valdés</w:t>
      </w:r>
      <w:r w:rsidR="009A341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y Teresa Gabriela Gutiérrez Burciaga, todos en su carácter de</w:t>
      </w:r>
      <w:r w:rsidR="008E2AEE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 Regidores del Ayuntamiento de Ramos Arizpe, Coahuila en contra de </w:t>
      </w:r>
      <w:r w:rsidR="009A3410">
        <w:rPr>
          <w:rFonts w:ascii="Arial" w:hAnsi="Arial" w:cs="Arial"/>
          <w:b w:val="0"/>
          <w:i w:val="0"/>
          <w:iCs w:val="0"/>
          <w:sz w:val="24"/>
          <w:szCs w:val="24"/>
        </w:rPr>
        <w:t>la omisión legislativa atribuida al H. Congreso del Es</w:t>
      </w:r>
      <w:r w:rsidR="00AA2771">
        <w:rPr>
          <w:rFonts w:ascii="Arial" w:hAnsi="Arial" w:cs="Arial"/>
          <w:b w:val="0"/>
          <w:i w:val="0"/>
          <w:iCs w:val="0"/>
          <w:sz w:val="24"/>
          <w:szCs w:val="24"/>
        </w:rPr>
        <w:t>tado de Coahuila de Zaragoza, con</w:t>
      </w:r>
      <w:r w:rsidR="009A341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relación al artículo 10, inciso e, del Código Electoral Local. </w:t>
      </w:r>
    </w:p>
    <w:p w:rsidR="00490900" w:rsidRPr="00490900" w:rsidRDefault="00490900" w:rsidP="00490900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B354AA" w:rsidRDefault="00932DB1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932DB1" w:rsidRDefault="00932DB1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D460C5" w:rsidRDefault="00932DB1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D460C5" w:rsidRPr="00D460C5" w:rsidRDefault="00D460C5" w:rsidP="00D460C5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EC4565" w:rsidRPr="00D460C5" w:rsidRDefault="006167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4565" w:rsidRPr="00D460C5" w:rsidSect="00490900">
      <w:headerReference w:type="default" r:id="rId7"/>
      <w:pgSz w:w="12242" w:h="20163" w:code="5"/>
      <w:pgMar w:top="1701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B0" w:rsidRDefault="006167B0" w:rsidP="00174A97">
      <w:pPr>
        <w:spacing w:after="0" w:line="240" w:lineRule="auto"/>
      </w:pPr>
      <w:r>
        <w:separator/>
      </w:r>
    </w:p>
  </w:endnote>
  <w:endnote w:type="continuationSeparator" w:id="0">
    <w:p w:rsidR="006167B0" w:rsidRDefault="006167B0" w:rsidP="001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B0" w:rsidRDefault="006167B0" w:rsidP="00174A97">
      <w:pPr>
        <w:spacing w:after="0" w:line="240" w:lineRule="auto"/>
      </w:pPr>
      <w:r>
        <w:separator/>
      </w:r>
    </w:p>
  </w:footnote>
  <w:footnote w:type="continuationSeparator" w:id="0">
    <w:p w:rsidR="006167B0" w:rsidRDefault="006167B0" w:rsidP="001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174A97">
    <w:pPr>
      <w:pStyle w:val="Encabezado"/>
      <w:jc w:val="right"/>
      <w:rPr>
        <w:rFonts w:cs="Times New Roman"/>
      </w:rPr>
    </w:pPr>
    <w:r>
      <w:fldChar w:fldCharType="begin"/>
    </w:r>
    <w:r w:rsidR="00D460C5">
      <w:instrText>PAGE   \* MERGEFORMAT</w:instrText>
    </w:r>
    <w:r>
      <w:fldChar w:fldCharType="separate"/>
    </w:r>
    <w:r w:rsidR="00D55D08" w:rsidRPr="00D55D08">
      <w:rPr>
        <w:noProof/>
        <w:lang w:val="es-ES"/>
      </w:rPr>
      <w:t>2</w:t>
    </w:r>
    <w:r>
      <w:fldChar w:fldCharType="end"/>
    </w:r>
  </w:p>
  <w:p w:rsidR="001E476E" w:rsidRDefault="006167B0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5"/>
    <w:rsid w:val="0009256B"/>
    <w:rsid w:val="000E73D9"/>
    <w:rsid w:val="001523B6"/>
    <w:rsid w:val="00174A97"/>
    <w:rsid w:val="001A0D49"/>
    <w:rsid w:val="001E3861"/>
    <w:rsid w:val="002425C2"/>
    <w:rsid w:val="003D6C7A"/>
    <w:rsid w:val="00490900"/>
    <w:rsid w:val="005257A8"/>
    <w:rsid w:val="00543205"/>
    <w:rsid w:val="00545DD6"/>
    <w:rsid w:val="006167B0"/>
    <w:rsid w:val="006636C1"/>
    <w:rsid w:val="006D501F"/>
    <w:rsid w:val="00706DB1"/>
    <w:rsid w:val="00710F65"/>
    <w:rsid w:val="007257F3"/>
    <w:rsid w:val="00726C63"/>
    <w:rsid w:val="00751688"/>
    <w:rsid w:val="007A3768"/>
    <w:rsid w:val="008B3AD8"/>
    <w:rsid w:val="008D0E6F"/>
    <w:rsid w:val="008E2AEE"/>
    <w:rsid w:val="008F032D"/>
    <w:rsid w:val="00932DB1"/>
    <w:rsid w:val="009A3410"/>
    <w:rsid w:val="00A202EC"/>
    <w:rsid w:val="00A30C23"/>
    <w:rsid w:val="00A535E5"/>
    <w:rsid w:val="00A760DC"/>
    <w:rsid w:val="00AA2771"/>
    <w:rsid w:val="00AA569E"/>
    <w:rsid w:val="00AB6981"/>
    <w:rsid w:val="00AE7D3F"/>
    <w:rsid w:val="00B3280F"/>
    <w:rsid w:val="00B354AA"/>
    <w:rsid w:val="00C04743"/>
    <w:rsid w:val="00C761BA"/>
    <w:rsid w:val="00CA477A"/>
    <w:rsid w:val="00CC6D6B"/>
    <w:rsid w:val="00D460C5"/>
    <w:rsid w:val="00D55D08"/>
    <w:rsid w:val="00D9755B"/>
    <w:rsid w:val="00E074D0"/>
    <w:rsid w:val="00EC3A1C"/>
    <w:rsid w:val="00EE1B6D"/>
    <w:rsid w:val="00F75EAF"/>
    <w:rsid w:val="00FA5A0B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9B85-413F-4005-8F02-3F6B917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60C5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460C5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460C5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460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460C5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0F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PlenoAux</cp:lastModifiedBy>
  <cp:revision>15</cp:revision>
  <cp:lastPrinted>2020-12-17T22:42:00Z</cp:lastPrinted>
  <dcterms:created xsi:type="dcterms:W3CDTF">2020-10-20T20:09:00Z</dcterms:created>
  <dcterms:modified xsi:type="dcterms:W3CDTF">2020-12-17T22:44:00Z</dcterms:modified>
</cp:coreProperties>
</file>